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28" w:firstLineChars="800"/>
        <w:rPr>
          <w:rFonts w:ascii="Times New Roman" w:hAnsi="Times New Roman"/>
          <w:b/>
          <w:sz w:val="24"/>
          <w:szCs w:val="24"/>
        </w:rPr>
      </w:pPr>
      <w:r>
        <w:rPr>
          <w:rFonts w:ascii="Times New Roman" w:hAnsi="Times New Roman"/>
          <w:b/>
          <w:sz w:val="24"/>
          <w:szCs w:val="24"/>
        </w:rPr>
        <w:t>Detailed rules for the definition of each variable</w:t>
      </w:r>
    </w:p>
    <w:p>
      <w:pPr>
        <w:ind w:firstLine="1760" w:firstLineChars="800"/>
        <w:rPr>
          <w:rFonts w:ascii="Times New Roman" w:hAnsi="Times New Roman"/>
          <w:bCs/>
          <w:sz w:val="22"/>
          <w:szCs w:val="22"/>
        </w:rPr>
      </w:pPr>
      <w:r>
        <w:rPr>
          <w:rFonts w:ascii="Times New Roman" w:hAnsi="Times New Roman"/>
          <w:bCs/>
          <w:sz w:val="22"/>
          <w:szCs w:val="22"/>
        </w:rPr>
        <w:t xml:space="preserve"> </w:t>
      </w:r>
    </w:p>
    <w:p>
      <w:pPr>
        <w:spacing w:line="480" w:lineRule="auto"/>
        <w:rPr>
          <w:rFonts w:ascii="Times New Roman" w:hAnsi="Times New Roman"/>
          <w:b/>
          <w:sz w:val="22"/>
          <w:szCs w:val="22"/>
        </w:rPr>
      </w:pPr>
      <w:r>
        <w:rPr>
          <w:rFonts w:ascii="Times New Roman" w:hAnsi="Times New Roman"/>
          <w:b/>
          <w:sz w:val="22"/>
          <w:szCs w:val="22"/>
        </w:rPr>
        <w:t>The definition of covariates and diseases</w:t>
      </w:r>
    </w:p>
    <w:p>
      <w:pPr>
        <w:spacing w:line="480" w:lineRule="auto"/>
        <w:ind w:firstLine="330" w:firstLineChars="150"/>
        <w:rPr>
          <w:rFonts w:ascii="Times New Roman" w:hAnsi="Times New Roman"/>
          <w:bCs/>
          <w:sz w:val="22"/>
          <w:szCs w:val="22"/>
        </w:rPr>
      </w:pPr>
      <w:r>
        <w:rPr>
          <w:rFonts w:ascii="Times New Roman" w:hAnsi="Times New Roman"/>
          <w:bCs/>
          <w:sz w:val="22"/>
          <w:szCs w:val="22"/>
        </w:rPr>
        <w:t xml:space="preserve">Smoking was defined as smoking &gt; 100 cigarettes in one’s lifetime, sometimes or daily.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 xml:space="preserve">Alcohol consumption was defined by asking the question, "In any given year, have you had at least 12 drinks of any type of alcoholic beverage?" Participants who answered ‘yes’ were considered drinkers.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Based on the Global Physical Activity Questionnaire</w:t>
      </w:r>
      <w:r>
        <w:rPr>
          <w:rFonts w:hint="eastAsia" w:ascii="Times New Roman" w:hAnsi="Times New Roman"/>
          <w:bCs/>
          <w:sz w:val="22"/>
          <w:szCs w:val="22"/>
        </w:rPr>
        <w:t xml:space="preserve"> </w:t>
      </w:r>
      <w:r>
        <w:rPr>
          <w:rFonts w:hint="eastAsia" w:ascii="Times New Roman" w:hAnsi="Times New Roman"/>
          <w:bCs/>
          <w:sz w:val="22"/>
          <w:szCs w:val="22"/>
          <w:lang w:val="en-US" w:eastAsia="zh-CN"/>
        </w:rPr>
        <w:t>[1]</w:t>
      </w:r>
      <w:r>
        <w:rPr>
          <w:rFonts w:ascii="Times New Roman" w:hAnsi="Times New Roman"/>
          <w:bCs/>
          <w:sz w:val="22"/>
          <w:szCs w:val="22"/>
        </w:rPr>
        <w:t>, recreational activity was defined by asking the question: "In a typical week, do you do any moderate-intensity/vigorous-intensity sports, fitness, or recreational activities that cause a small increase in breathing or heart rate such as brisk walking, bicycling, swimming, volleyball, running or basketball for at least 10 minutes continuously?" Participants answered "Yes" or "No".</w:t>
      </w:r>
    </w:p>
    <w:p>
      <w:pPr>
        <w:spacing w:line="480" w:lineRule="auto"/>
        <w:ind w:firstLine="330" w:firstLineChars="150"/>
        <w:rPr>
          <w:rFonts w:ascii="Times New Roman" w:hAnsi="Times New Roman"/>
          <w:bCs/>
          <w:sz w:val="22"/>
          <w:szCs w:val="22"/>
        </w:rPr>
      </w:pPr>
      <w:r>
        <w:rPr>
          <w:rFonts w:ascii="Times New Roman" w:hAnsi="Times New Roman"/>
          <w:bCs/>
          <w:sz w:val="22"/>
          <w:szCs w:val="22"/>
        </w:rPr>
        <w:t>The DII is based on 45 specific nutrients to assess the impact of dietary consumption on inflammation. Our study used 28 nutrients to calculate the DII score including cholesterol, energy, total fat, monounsaturated fatty acids, polyunsaturated fatty acids, saturated fat, n-3 fatty acids, n-6 fatty acids, protein, carbohydrates, fiber, alcohol, vitamins B12/B6, beta-carotene, caffeine, folate, iron, magnesium, niacin, riboflavin, thiamine, selenium, vitamins A/C/D/E and zinc. The score for each component is determined by calculating the deviation from the global average daily intake, dividing it by the standard deviation, and converting the resulting z-score to a percentile score. Doubling the percentile and subtracting it symmetrically multiplied by 1, the percentile was multiplied by the “overall inflammatory effect score” corresponding to that nutrient. All individual DII scores were added together to get an “overall DII score” for each participant</w:t>
      </w:r>
      <w:r>
        <w:rPr>
          <w:rFonts w:hint="eastAsia" w:ascii="Times New Roman" w:hAnsi="Times New Roman"/>
          <w:bCs/>
          <w:sz w:val="22"/>
          <w:szCs w:val="22"/>
        </w:rPr>
        <w:t xml:space="preserve"> </w:t>
      </w:r>
      <w:r>
        <w:rPr>
          <w:rFonts w:hint="eastAsia" w:ascii="Times New Roman" w:hAnsi="Times New Roman"/>
          <w:bCs/>
          <w:sz w:val="22"/>
          <w:szCs w:val="22"/>
          <w:lang w:val="en-US" w:eastAsia="zh-CN"/>
        </w:rPr>
        <w:t>[2]</w:t>
      </w:r>
      <w:r>
        <w:rPr>
          <w:rFonts w:ascii="Times New Roman" w:hAnsi="Times New Roman"/>
          <w:bCs/>
          <w:sz w:val="22"/>
          <w:szCs w:val="22"/>
        </w:rPr>
        <w:t xml:space="preserve">.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BMI was calculated as weight (kg) divided by height squared (kg/m2).</w:t>
      </w:r>
      <w:r>
        <w:rPr>
          <w:rFonts w:hint="eastAsia" w:ascii="Times New Roman" w:hAnsi="Times New Roman"/>
          <w:bCs/>
          <w:sz w:val="22"/>
          <w:szCs w:val="22"/>
        </w:rPr>
        <w:t xml:space="preserve"> </w:t>
      </w:r>
      <w:r>
        <w:rPr>
          <w:rFonts w:ascii="Times New Roman" w:hAnsi="Times New Roman"/>
          <w:bCs/>
          <w:sz w:val="22"/>
          <w:szCs w:val="22"/>
        </w:rPr>
        <w:t>According to the recommendation of the World Health Organization</w:t>
      </w:r>
      <w:r>
        <w:rPr>
          <w:rFonts w:hint="eastAsia" w:ascii="Times New Roman" w:hAnsi="Times New Roman"/>
          <w:bCs/>
          <w:sz w:val="22"/>
          <w:szCs w:val="22"/>
        </w:rPr>
        <w:t xml:space="preserve"> </w:t>
      </w:r>
      <w:r>
        <w:rPr>
          <w:rFonts w:ascii="Times New Roman" w:hAnsi="Times New Roman"/>
          <w:bCs/>
          <w:sz w:val="22"/>
          <w:szCs w:val="22"/>
        </w:rPr>
        <w:t>(WHO), BMI was was categorized into three categories (&lt; 25kg/m</w:t>
      </w:r>
      <w:r>
        <w:rPr>
          <w:rFonts w:ascii="Times New Roman" w:hAnsi="Times New Roman"/>
          <w:bCs/>
          <w:sz w:val="22"/>
          <w:szCs w:val="22"/>
          <w:vertAlign w:val="superscript"/>
        </w:rPr>
        <w:t>2</w:t>
      </w:r>
      <w:r>
        <w:rPr>
          <w:rFonts w:ascii="Times New Roman" w:hAnsi="Times New Roman"/>
          <w:bCs/>
          <w:sz w:val="22"/>
          <w:szCs w:val="22"/>
        </w:rPr>
        <w:t>, 25-30 kg/m</w:t>
      </w:r>
      <w:r>
        <w:rPr>
          <w:rFonts w:ascii="Times New Roman" w:hAnsi="Times New Roman"/>
          <w:bCs/>
          <w:sz w:val="22"/>
          <w:szCs w:val="22"/>
          <w:vertAlign w:val="superscript"/>
        </w:rPr>
        <w:t>2</w:t>
      </w:r>
      <w:r>
        <w:rPr>
          <w:rFonts w:ascii="Times New Roman" w:hAnsi="Times New Roman"/>
          <w:bCs/>
          <w:sz w:val="22"/>
          <w:szCs w:val="22"/>
        </w:rPr>
        <w:t>, ≥ 30kg/m</w:t>
      </w:r>
      <w:r>
        <w:rPr>
          <w:rFonts w:ascii="Times New Roman" w:hAnsi="Times New Roman"/>
          <w:bCs/>
          <w:sz w:val="22"/>
          <w:szCs w:val="22"/>
          <w:vertAlign w:val="superscript"/>
        </w:rPr>
        <w:t>2</w:t>
      </w:r>
      <w:r>
        <w:rPr>
          <w:rFonts w:ascii="Times New Roman" w:hAnsi="Times New Roman"/>
          <w:bCs/>
          <w:sz w:val="22"/>
          <w:szCs w:val="22"/>
        </w:rPr>
        <w:t xml:space="preserve">) </w:t>
      </w:r>
      <w:r>
        <w:rPr>
          <w:rFonts w:hint="eastAsia" w:ascii="Times New Roman" w:hAnsi="Times New Roman"/>
          <w:bCs/>
          <w:sz w:val="22"/>
          <w:szCs w:val="22"/>
          <w:lang w:val="en-US" w:eastAsia="zh-CN"/>
        </w:rPr>
        <w:t>[3]</w:t>
      </w:r>
      <w:r>
        <w:rPr>
          <w:rFonts w:ascii="Times New Roman" w:hAnsi="Times New Roman"/>
          <w:bCs/>
          <w:sz w:val="22"/>
          <w:szCs w:val="22"/>
        </w:rPr>
        <w:t xml:space="preserve">.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 xml:space="preserve">Participants were defined as hypertensive based on self-reported medical diagnosis, antihypertensive drug use, or hypertension measurements (systolic blood pressure 140 mmHg and/or diastolic blood pressure 90 mmHg and above) </w:t>
      </w:r>
      <w:r>
        <w:rPr>
          <w:rFonts w:hint="eastAsia" w:ascii="Times New Roman" w:hAnsi="Times New Roman"/>
          <w:bCs/>
          <w:sz w:val="22"/>
          <w:szCs w:val="22"/>
          <w:lang w:val="en-US" w:eastAsia="zh-CN"/>
        </w:rPr>
        <w:t>[4]</w:t>
      </w:r>
      <w:r>
        <w:rPr>
          <w:rFonts w:ascii="Times New Roman" w:hAnsi="Times New Roman"/>
          <w:bCs/>
          <w:sz w:val="22"/>
          <w:szCs w:val="22"/>
        </w:rPr>
        <w:t xml:space="preserve">.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Diabetes mellitus was defined as having any of the following causes: Fasting blood glucose concentration ≥ 7.0mmol/L or random glucose concentration</w:t>
      </w:r>
      <w:r>
        <w:rPr>
          <w:rFonts w:hint="eastAsia" w:ascii="Times New Roman" w:hAnsi="Times New Roman"/>
          <w:bCs/>
          <w:sz w:val="22"/>
          <w:szCs w:val="22"/>
        </w:rPr>
        <w:t xml:space="preserve"> </w:t>
      </w:r>
      <w:r>
        <w:rPr>
          <w:rFonts w:ascii="Times New Roman" w:hAnsi="Times New Roman"/>
          <w:bCs/>
          <w:sz w:val="22"/>
          <w:szCs w:val="22"/>
        </w:rPr>
        <w:t>≥</w:t>
      </w:r>
      <w:r>
        <w:rPr>
          <w:rFonts w:hint="eastAsia" w:ascii="Times New Roman" w:hAnsi="Times New Roman"/>
          <w:bCs/>
          <w:sz w:val="22"/>
          <w:szCs w:val="22"/>
        </w:rPr>
        <w:t xml:space="preserve"> </w:t>
      </w:r>
      <w:r>
        <w:rPr>
          <w:rFonts w:ascii="Times New Roman" w:hAnsi="Times New Roman"/>
          <w:bCs/>
          <w:sz w:val="22"/>
          <w:szCs w:val="22"/>
        </w:rPr>
        <w:t>11.1mmol/L or HbA1c ≥ 6.5%, taking insulin or diabetic pills, told by a doctor or health professional</w:t>
      </w:r>
      <w:r>
        <w:rPr>
          <w:rFonts w:hint="eastAsia" w:ascii="Times New Roman" w:hAnsi="Times New Roman"/>
          <w:bCs/>
          <w:sz w:val="22"/>
          <w:szCs w:val="22"/>
        </w:rPr>
        <w:t xml:space="preserve"> </w:t>
      </w:r>
      <w:r>
        <w:rPr>
          <w:rFonts w:hint="eastAsia" w:ascii="Times New Roman" w:hAnsi="Times New Roman"/>
          <w:bCs/>
          <w:sz w:val="22"/>
          <w:szCs w:val="22"/>
          <w:lang w:val="en-US" w:eastAsia="zh-CN"/>
        </w:rPr>
        <w:t>[5]</w:t>
      </w:r>
      <w:r>
        <w:rPr>
          <w:rFonts w:ascii="Times New Roman" w:hAnsi="Times New Roman"/>
          <w:bCs/>
          <w:sz w:val="22"/>
          <w:szCs w:val="22"/>
        </w:rPr>
        <w:t xml:space="preserve">. </w:t>
      </w:r>
    </w:p>
    <w:p>
      <w:pPr>
        <w:spacing w:line="480" w:lineRule="auto"/>
        <w:ind w:firstLine="330" w:firstLineChars="150"/>
        <w:rPr>
          <w:rFonts w:ascii="Times New Roman" w:hAnsi="Times New Roman"/>
          <w:bCs/>
          <w:sz w:val="22"/>
          <w:szCs w:val="22"/>
        </w:rPr>
      </w:pPr>
      <w:r>
        <w:rPr>
          <w:rFonts w:ascii="Times New Roman" w:hAnsi="Times New Roman"/>
          <w:bCs/>
          <w:sz w:val="22"/>
          <w:szCs w:val="22"/>
        </w:rPr>
        <w:t>Cardiovascular Disease</w:t>
      </w:r>
      <w:r>
        <w:rPr>
          <w:rFonts w:hint="eastAsia" w:ascii="Times New Roman" w:hAnsi="Times New Roman"/>
          <w:bCs/>
          <w:sz w:val="22"/>
          <w:szCs w:val="22"/>
        </w:rPr>
        <w:t xml:space="preserve"> </w:t>
      </w:r>
      <w:r>
        <w:rPr>
          <w:rFonts w:ascii="Times New Roman" w:hAnsi="Times New Roman"/>
          <w:bCs/>
          <w:sz w:val="22"/>
          <w:szCs w:val="22"/>
        </w:rPr>
        <w:t>(CVD)：has a doctor or other health professional ever told you had coronary heart disease or congestive heart failure or a heart attack (also called myocardial infarction) or angina（also called angina pectoris）or stroke?</w:t>
      </w:r>
    </w:p>
    <w:p>
      <w:pPr>
        <w:spacing w:line="480" w:lineRule="auto"/>
        <w:rPr>
          <w:rFonts w:ascii="Times New Roman" w:hAnsi="Times New Roman"/>
          <w:b/>
          <w:sz w:val="22"/>
          <w:szCs w:val="22"/>
        </w:rPr>
      </w:pPr>
      <w:r>
        <w:rPr>
          <w:rFonts w:ascii="Times New Roman" w:hAnsi="Times New Roman"/>
          <w:b/>
          <w:sz w:val="22"/>
          <w:szCs w:val="22"/>
        </w:rPr>
        <w:t>References</w:t>
      </w:r>
    </w:p>
    <w:p>
      <w:pPr>
        <w:pStyle w:val="4"/>
        <w:bidi w:val="0"/>
        <w:ind w:left="0" w:firstLine="0"/>
        <w:rPr>
          <w:rFonts w:ascii="Calibri" w:hAnsi="Calibri" w:eastAsia="宋体" w:cs="Calibri"/>
          <w:kern w:val="2"/>
          <w:sz w:val="20"/>
          <w:szCs w:val="21"/>
          <w:lang w:val="en-US" w:eastAsia="zh-CN" w:bidi="ar-SA"/>
        </w:rPr>
      </w:pPr>
      <w:r>
        <w:rPr>
          <w:rFonts w:ascii="Times New Roman" w:hAnsi="Times New Roman" w:cs="Times New Roman"/>
          <w:bCs/>
          <w:sz w:val="22"/>
          <w:szCs w:val="22"/>
        </w:rPr>
        <w:fldChar w:fldCharType="begin"/>
      </w:r>
      <w:r>
        <w:rPr>
          <w:rFonts w:ascii="Times New Roman" w:hAnsi="Times New Roman" w:cs="Times New Roman"/>
          <w:bCs/>
          <w:sz w:val="22"/>
          <w:szCs w:val="22"/>
        </w:rPr>
        <w:instrText xml:space="preserve"> ADDIN EN.REFLIST </w:instrText>
      </w:r>
      <w:r>
        <w:rPr>
          <w:rFonts w:ascii="Times New Roman" w:hAnsi="Times New Roman" w:cs="Times New Roman"/>
          <w:bCs/>
          <w:sz w:val="22"/>
          <w:szCs w:val="22"/>
        </w:rPr>
        <w:fldChar w:fldCharType="separate"/>
      </w:r>
      <w:r>
        <w:rPr>
          <w:rFonts w:ascii="Calibri" w:hAnsi="Calibri" w:eastAsia="宋体" w:cs="Calibri"/>
          <w:kern w:val="2"/>
          <w:sz w:val="20"/>
          <w:szCs w:val="21"/>
          <w:lang w:val="en-US" w:eastAsia="zh-CN" w:bidi="ar-SA"/>
        </w:rPr>
        <w:t>1.</w:t>
      </w:r>
      <w:r>
        <w:rPr>
          <w:rFonts w:ascii="Calibri" w:hAnsi="Calibri" w:eastAsia="宋体" w:cs="Calibri"/>
          <w:kern w:val="2"/>
          <w:sz w:val="20"/>
          <w:szCs w:val="21"/>
          <w:lang w:val="en-US" w:eastAsia="zh-CN" w:bidi="ar-SA"/>
        </w:rPr>
        <w:tab/>
      </w:r>
      <w:r>
        <w:rPr>
          <w:rFonts w:ascii="Calibri" w:hAnsi="Calibri" w:eastAsia="宋体" w:cs="Calibri"/>
          <w:kern w:val="2"/>
          <w:sz w:val="20"/>
          <w:szCs w:val="21"/>
          <w:lang w:val="en-US" w:eastAsia="zh-CN" w:bidi="ar-SA"/>
        </w:rPr>
        <w:t>Whitfield GP, Ussery EN, Carlson SA. Combining Data From Assessments of Leisure, Occupational, Household, and Transportation Physical Activity Among US Adults, NHANES 2011-2016. Preventing chronic disease. 2020;17:E117.</w:t>
      </w:r>
    </w:p>
    <w:p>
      <w:pPr>
        <w:pStyle w:val="4"/>
        <w:bidi w:val="0"/>
        <w:ind w:left="0" w:firstLine="0"/>
        <w:rPr>
          <w:rFonts w:ascii="Calibri" w:hAnsi="Calibri" w:eastAsia="宋体" w:cs="Calibri"/>
          <w:kern w:val="2"/>
          <w:sz w:val="20"/>
          <w:szCs w:val="21"/>
          <w:lang w:val="en-US" w:eastAsia="zh-CN" w:bidi="ar-SA"/>
        </w:rPr>
      </w:pPr>
      <w:r>
        <w:rPr>
          <w:rFonts w:ascii="Calibri" w:hAnsi="Calibri" w:eastAsia="宋体" w:cs="Calibri"/>
          <w:kern w:val="2"/>
          <w:sz w:val="20"/>
          <w:szCs w:val="21"/>
          <w:lang w:val="en-US" w:eastAsia="zh-CN" w:bidi="ar-SA"/>
        </w:rPr>
        <w:t>2.</w:t>
      </w:r>
      <w:r>
        <w:rPr>
          <w:rFonts w:ascii="Calibri" w:hAnsi="Calibri" w:eastAsia="宋体" w:cs="Calibri"/>
          <w:kern w:val="2"/>
          <w:sz w:val="20"/>
          <w:szCs w:val="21"/>
          <w:lang w:val="en-US" w:eastAsia="zh-CN" w:bidi="ar-SA"/>
        </w:rPr>
        <w:tab/>
      </w:r>
      <w:r>
        <w:rPr>
          <w:rFonts w:ascii="Calibri" w:hAnsi="Calibri" w:eastAsia="宋体" w:cs="Calibri"/>
          <w:kern w:val="2"/>
          <w:sz w:val="20"/>
          <w:szCs w:val="21"/>
          <w:lang w:val="en-US" w:eastAsia="zh-CN" w:bidi="ar-SA"/>
        </w:rPr>
        <w:t>Shivappa N, Steck SE, Hurley TG, Hussey JR, Hébert JR. Designing and developing a literature-derived, population-based dietary inflammatory index. Public health nutrition. 2014;17(8):1689-96.</w:t>
      </w:r>
    </w:p>
    <w:p>
      <w:pPr>
        <w:pStyle w:val="4"/>
        <w:bidi w:val="0"/>
        <w:ind w:left="0" w:firstLine="0"/>
        <w:rPr>
          <w:rFonts w:ascii="Calibri" w:hAnsi="Calibri" w:eastAsia="宋体" w:cs="Calibri"/>
          <w:kern w:val="2"/>
          <w:sz w:val="20"/>
          <w:szCs w:val="21"/>
          <w:lang w:val="en-US" w:eastAsia="zh-CN" w:bidi="ar-SA"/>
        </w:rPr>
      </w:pPr>
      <w:r>
        <w:rPr>
          <w:rFonts w:ascii="Calibri" w:hAnsi="Calibri" w:eastAsia="宋体" w:cs="Calibri"/>
          <w:kern w:val="2"/>
          <w:sz w:val="20"/>
          <w:szCs w:val="21"/>
          <w:lang w:val="en-US" w:eastAsia="zh-CN" w:bidi="ar-SA"/>
        </w:rPr>
        <w:t>3.</w:t>
      </w:r>
      <w:r>
        <w:rPr>
          <w:rFonts w:ascii="Calibri" w:hAnsi="Calibri" w:eastAsia="宋体" w:cs="Calibri"/>
          <w:kern w:val="2"/>
          <w:sz w:val="20"/>
          <w:szCs w:val="21"/>
          <w:lang w:val="en-US" w:eastAsia="zh-CN" w:bidi="ar-SA"/>
        </w:rPr>
        <w:tab/>
      </w:r>
      <w:r>
        <w:rPr>
          <w:rFonts w:ascii="Calibri" w:hAnsi="Calibri" w:eastAsia="宋体" w:cs="Calibri"/>
          <w:kern w:val="2"/>
          <w:sz w:val="20"/>
          <w:szCs w:val="21"/>
          <w:lang w:val="en-US" w:eastAsia="zh-CN" w:bidi="ar-SA"/>
        </w:rPr>
        <w:t>Liu F, Nie J, Deng MG, Yang H, Feng Q, Yang Y, et al. Dietary flavonoid intake is associated with a lower risk of diabetic nephropathy in US adults: data from NHANES 2007-2008, 2009-2010, and 2017-2018. Food &amp; function. 2023;14(9):4183-90.</w:t>
      </w:r>
    </w:p>
    <w:p>
      <w:pPr>
        <w:pStyle w:val="4"/>
        <w:bidi w:val="0"/>
        <w:ind w:left="0" w:firstLine="0"/>
        <w:rPr>
          <w:rFonts w:ascii="Calibri" w:hAnsi="Calibri" w:eastAsia="宋体" w:cs="Calibri"/>
          <w:kern w:val="2"/>
          <w:sz w:val="20"/>
          <w:szCs w:val="21"/>
          <w:lang w:val="en-US" w:eastAsia="zh-CN" w:bidi="ar-SA"/>
        </w:rPr>
      </w:pPr>
      <w:r>
        <w:rPr>
          <w:rFonts w:ascii="Calibri" w:hAnsi="Calibri" w:eastAsia="宋体" w:cs="Calibri"/>
          <w:kern w:val="2"/>
          <w:sz w:val="20"/>
          <w:szCs w:val="21"/>
          <w:lang w:val="en-US" w:eastAsia="zh-CN" w:bidi="ar-SA"/>
        </w:rPr>
        <w:t>4.</w:t>
      </w:r>
      <w:r>
        <w:rPr>
          <w:rFonts w:ascii="Calibri" w:hAnsi="Calibri" w:eastAsia="宋体" w:cs="Calibri"/>
          <w:kern w:val="2"/>
          <w:sz w:val="20"/>
          <w:szCs w:val="21"/>
          <w:lang w:val="en-US" w:eastAsia="zh-CN" w:bidi="ar-SA"/>
        </w:rPr>
        <w:tab/>
      </w:r>
      <w:r>
        <w:rPr>
          <w:rFonts w:ascii="Calibri" w:hAnsi="Calibri" w:eastAsia="宋体" w:cs="Calibri"/>
          <w:kern w:val="2"/>
          <w:sz w:val="20"/>
          <w:szCs w:val="21"/>
          <w:lang w:val="en-US" w:eastAsia="zh-CN" w:bidi="ar-SA"/>
        </w:rPr>
        <w:t>Liu Z, Su Y, Chen Q, Xiao L, Zhao X, Wang F, et al. Association of Dietary intake of vitamin E with chronic obstructive pulmonary disease events in US adults: A cross-sectional study of NHANES 2013-2018. Frontiers in nutrition. 2023;10:1124648.</w:t>
      </w:r>
    </w:p>
    <w:p>
      <w:pPr>
        <w:pStyle w:val="4"/>
        <w:bidi w:val="0"/>
        <w:ind w:left="0" w:firstLine="0"/>
        <w:rPr>
          <w:rFonts w:ascii="Calibri" w:hAnsi="Calibri" w:eastAsia="宋体" w:cs="Calibri"/>
          <w:kern w:val="2"/>
          <w:sz w:val="20"/>
          <w:szCs w:val="21"/>
          <w:lang w:val="en-US" w:eastAsia="zh-CN" w:bidi="ar-SA"/>
        </w:rPr>
      </w:pPr>
      <w:r>
        <w:rPr>
          <w:rFonts w:ascii="Calibri" w:hAnsi="Calibri" w:eastAsia="宋体" w:cs="Calibri"/>
          <w:kern w:val="2"/>
          <w:sz w:val="20"/>
          <w:szCs w:val="21"/>
          <w:lang w:val="en-US" w:eastAsia="zh-CN" w:bidi="ar-SA"/>
        </w:rPr>
        <w:t>5.</w:t>
      </w:r>
      <w:r>
        <w:rPr>
          <w:rFonts w:ascii="Calibri" w:hAnsi="Calibri" w:eastAsia="宋体" w:cs="Calibri"/>
          <w:kern w:val="2"/>
          <w:sz w:val="20"/>
          <w:szCs w:val="21"/>
          <w:lang w:val="en-US" w:eastAsia="zh-CN" w:bidi="ar-SA"/>
        </w:rPr>
        <w:tab/>
      </w:r>
      <w:r>
        <w:rPr>
          <w:rFonts w:ascii="Calibri" w:hAnsi="Calibri" w:eastAsia="宋体" w:cs="Calibri"/>
          <w:kern w:val="2"/>
          <w:sz w:val="20"/>
          <w:szCs w:val="21"/>
          <w:lang w:val="en-US" w:eastAsia="zh-CN" w:bidi="ar-SA"/>
        </w:rPr>
        <w:t>Huh JH, Han KD, Cho YK, Roh E, Kang JG, Lee SJ, et al. Remnant cholesterol and the risk of cardiovascular disease in type 2 diabetes: a nationwide longitudinal cohort study. Cardiovascular diabetology. 2022;21(1):228.</w:t>
      </w:r>
    </w:p>
    <w:p>
      <w:pPr>
        <w:spacing w:line="480" w:lineRule="auto"/>
        <w:rPr>
          <w:rFonts w:ascii="Times New Roman" w:hAnsi="Times New Roman"/>
          <w:bCs/>
          <w:sz w:val="22"/>
          <w:szCs w:val="22"/>
        </w:rPr>
      </w:pPr>
      <w:r>
        <w:rPr>
          <w:rFonts w:ascii="Times New Roman" w:hAnsi="Times New Roman"/>
          <w:bCs/>
          <w:sz w:val="22"/>
          <w:szCs w:val="22"/>
        </w:rPr>
        <w:fldChar w:fldCharType="end"/>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3NGZkMDliNDRhNmRjMzI4M2MwZWE1ZDc4NjczYTgifQ=="/>
  </w:docVars>
  <w:rsids>
    <w:rsidRoot w:val="00000000"/>
    <w:rsid w:val="28180C8B"/>
    <w:rsid w:val="2951289D"/>
    <w:rsid w:val="7C671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ndNote Bibliography"/>
    <w:basedOn w:val="1"/>
    <w:qFormat/>
    <w:uiPriority w:val="0"/>
    <w:rPr>
      <w:rFonts w:cs="Calibri"/>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2024-10-09T08:47:47Z</dcterms:created>
  <dc:creator>2022</dc:creator>
  <cp:lastModifiedBy>甜米</cp:lastModifiedBy>
  <dcterms:modified xsi:type="dcterms:W3CDTF">2024-10-09T08:49:23Z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B1229C5CC81A49BDAEE5018BC20FC683_12</vt:lpwstr>
  </property>
</Properties>
</file>